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0522" w14:textId="77777777" w:rsidR="004D7FA2" w:rsidRDefault="004D7FA2"/>
    <w:p w14:paraId="3A515464" w14:textId="2D3C385E" w:rsidR="004D7FA2" w:rsidRPr="004D7FA2" w:rsidRDefault="004D7FA2" w:rsidP="004D7FA2">
      <w:pPr>
        <w:jc w:val="center"/>
        <w:rPr>
          <w:rFonts w:ascii="Arial" w:hAnsi="Arial" w:cs="Arial"/>
          <w:b/>
          <w:bCs/>
        </w:rPr>
      </w:pPr>
      <w:r w:rsidRPr="004D7FA2">
        <w:rPr>
          <w:rFonts w:ascii="Arial" w:hAnsi="Arial" w:cs="Arial"/>
          <w:b/>
          <w:bCs/>
        </w:rPr>
        <w:t>Clarifications</w:t>
      </w:r>
    </w:p>
    <w:tbl>
      <w:tblPr>
        <w:tblStyle w:val="TableGrid"/>
        <w:tblW w:w="0" w:type="auto"/>
        <w:tblLook w:val="04A0" w:firstRow="1" w:lastRow="0" w:firstColumn="1" w:lastColumn="0" w:noHBand="0" w:noVBand="1"/>
      </w:tblPr>
      <w:tblGrid>
        <w:gridCol w:w="495"/>
        <w:gridCol w:w="2307"/>
        <w:gridCol w:w="3537"/>
        <w:gridCol w:w="2677"/>
      </w:tblGrid>
      <w:tr w:rsidR="00591AF2" w:rsidRPr="00D74C0C" w14:paraId="7B912D27" w14:textId="77777777" w:rsidTr="004D7FA2">
        <w:tc>
          <w:tcPr>
            <w:tcW w:w="495" w:type="dxa"/>
          </w:tcPr>
          <w:p w14:paraId="68D3D564" w14:textId="0B199943" w:rsidR="00591AF2" w:rsidRPr="00D74C0C" w:rsidRDefault="00D74C0C" w:rsidP="00D74C0C">
            <w:pPr>
              <w:spacing w:line="360" w:lineRule="auto"/>
              <w:jc w:val="center"/>
              <w:rPr>
                <w:rFonts w:ascii="Arial" w:hAnsi="Arial" w:cs="Arial"/>
                <w:b/>
                <w:bCs/>
                <w:sz w:val="20"/>
                <w:szCs w:val="20"/>
              </w:rPr>
            </w:pPr>
            <w:r w:rsidRPr="00D74C0C">
              <w:rPr>
                <w:rFonts w:ascii="Arial" w:hAnsi="Arial" w:cs="Arial"/>
                <w:b/>
                <w:bCs/>
                <w:sz w:val="20"/>
                <w:szCs w:val="20"/>
              </w:rPr>
              <w:t>SN</w:t>
            </w:r>
          </w:p>
        </w:tc>
        <w:tc>
          <w:tcPr>
            <w:tcW w:w="2307" w:type="dxa"/>
          </w:tcPr>
          <w:p w14:paraId="21AE451B" w14:textId="23607DFB" w:rsidR="00591AF2" w:rsidRPr="00D74C0C" w:rsidRDefault="00D74C0C" w:rsidP="00D74C0C">
            <w:pPr>
              <w:spacing w:line="360" w:lineRule="auto"/>
              <w:jc w:val="center"/>
              <w:rPr>
                <w:rFonts w:ascii="Arial" w:hAnsi="Arial" w:cs="Arial"/>
                <w:b/>
                <w:bCs/>
                <w:sz w:val="20"/>
                <w:szCs w:val="20"/>
              </w:rPr>
            </w:pPr>
            <w:r w:rsidRPr="00D74C0C">
              <w:rPr>
                <w:rFonts w:ascii="Arial" w:hAnsi="Arial" w:cs="Arial"/>
                <w:b/>
                <w:bCs/>
                <w:sz w:val="20"/>
                <w:szCs w:val="20"/>
              </w:rPr>
              <w:t>TOR</w:t>
            </w:r>
          </w:p>
        </w:tc>
        <w:tc>
          <w:tcPr>
            <w:tcW w:w="3537" w:type="dxa"/>
          </w:tcPr>
          <w:p w14:paraId="359DE63D" w14:textId="2EC77FF2" w:rsidR="00591AF2" w:rsidRPr="00D74C0C" w:rsidRDefault="00D74C0C" w:rsidP="00D74C0C">
            <w:pPr>
              <w:spacing w:line="360" w:lineRule="auto"/>
              <w:jc w:val="center"/>
              <w:rPr>
                <w:rFonts w:ascii="Arial" w:hAnsi="Arial" w:cs="Arial"/>
                <w:b/>
                <w:bCs/>
                <w:sz w:val="20"/>
                <w:szCs w:val="20"/>
              </w:rPr>
            </w:pPr>
            <w:r w:rsidRPr="00D74C0C">
              <w:rPr>
                <w:rFonts w:ascii="Arial" w:hAnsi="Arial" w:cs="Arial"/>
                <w:b/>
                <w:bCs/>
                <w:sz w:val="20"/>
                <w:szCs w:val="20"/>
              </w:rPr>
              <w:t>Query</w:t>
            </w:r>
          </w:p>
        </w:tc>
        <w:tc>
          <w:tcPr>
            <w:tcW w:w="2677" w:type="dxa"/>
          </w:tcPr>
          <w:p w14:paraId="05968C4E" w14:textId="177995BA" w:rsidR="00591AF2" w:rsidRPr="00D74C0C" w:rsidRDefault="00D74C0C" w:rsidP="00D74C0C">
            <w:pPr>
              <w:spacing w:line="360" w:lineRule="auto"/>
              <w:jc w:val="center"/>
              <w:rPr>
                <w:rFonts w:ascii="Arial" w:hAnsi="Arial" w:cs="Arial"/>
                <w:b/>
                <w:bCs/>
                <w:sz w:val="20"/>
                <w:szCs w:val="20"/>
              </w:rPr>
            </w:pPr>
            <w:r w:rsidRPr="00D74C0C">
              <w:rPr>
                <w:rFonts w:ascii="Arial" w:hAnsi="Arial" w:cs="Arial"/>
                <w:b/>
                <w:bCs/>
                <w:sz w:val="20"/>
                <w:szCs w:val="20"/>
              </w:rPr>
              <w:t>Clarifications</w:t>
            </w:r>
          </w:p>
        </w:tc>
      </w:tr>
      <w:tr w:rsidR="00591AF2" w:rsidRPr="00D74C0C" w14:paraId="34E61088" w14:textId="77777777" w:rsidTr="004D7FA2">
        <w:trPr>
          <w:trHeight w:val="4328"/>
        </w:trPr>
        <w:tc>
          <w:tcPr>
            <w:tcW w:w="495" w:type="dxa"/>
          </w:tcPr>
          <w:p w14:paraId="0B7E2071" w14:textId="678ACB53" w:rsidR="00591AF2" w:rsidRPr="00D74C0C" w:rsidRDefault="00591AF2" w:rsidP="00D74C0C">
            <w:pPr>
              <w:spacing w:line="360" w:lineRule="auto"/>
              <w:rPr>
                <w:rFonts w:ascii="Arial" w:hAnsi="Arial" w:cs="Arial"/>
                <w:sz w:val="20"/>
                <w:szCs w:val="20"/>
              </w:rPr>
            </w:pPr>
            <w:r w:rsidRPr="00D74C0C">
              <w:rPr>
                <w:rFonts w:ascii="Arial" w:hAnsi="Arial" w:cs="Arial"/>
                <w:sz w:val="20"/>
                <w:szCs w:val="20"/>
              </w:rPr>
              <w:t>1</w:t>
            </w:r>
          </w:p>
        </w:tc>
        <w:tc>
          <w:tcPr>
            <w:tcW w:w="2307" w:type="dxa"/>
          </w:tcPr>
          <w:p w14:paraId="00AF387E" w14:textId="2BEB1E06" w:rsidR="00591AF2" w:rsidRPr="00D74C0C" w:rsidRDefault="00591AF2" w:rsidP="00D74C0C">
            <w:pPr>
              <w:spacing w:line="360" w:lineRule="auto"/>
              <w:rPr>
                <w:rFonts w:ascii="Arial" w:hAnsi="Arial" w:cs="Arial"/>
                <w:sz w:val="20"/>
                <w:szCs w:val="20"/>
              </w:rPr>
            </w:pPr>
            <w:r w:rsidRPr="00D74C0C">
              <w:rPr>
                <w:rFonts w:ascii="Arial" w:hAnsi="Arial" w:cs="Arial"/>
                <w:sz w:val="20"/>
                <w:szCs w:val="20"/>
              </w:rPr>
              <w:t>Review the current salary structures and terms and conditions of employment in the NGOs funded by NSIF</w:t>
            </w:r>
          </w:p>
        </w:tc>
        <w:tc>
          <w:tcPr>
            <w:tcW w:w="3537" w:type="dxa"/>
          </w:tcPr>
          <w:p w14:paraId="7B44B299" w14:textId="77777777" w:rsidR="00D74C0C" w:rsidRDefault="00591AF2" w:rsidP="00D74C0C">
            <w:pPr>
              <w:pStyle w:val="ListParagraph"/>
              <w:numPr>
                <w:ilvl w:val="0"/>
                <w:numId w:val="2"/>
              </w:numPr>
              <w:spacing w:line="360" w:lineRule="auto"/>
              <w:ind w:left="143" w:hanging="180"/>
              <w:rPr>
                <w:rFonts w:ascii="Arial" w:hAnsi="Arial" w:cs="Arial"/>
                <w:sz w:val="20"/>
                <w:szCs w:val="20"/>
              </w:rPr>
            </w:pPr>
            <w:r w:rsidRPr="00D74C0C">
              <w:rPr>
                <w:rFonts w:ascii="Arial" w:hAnsi="Arial" w:cs="Arial"/>
                <w:sz w:val="20"/>
                <w:szCs w:val="20"/>
              </w:rPr>
              <w:t>Kindly share the count of employees across NGOs funded by NSIF, also are employment contracts currently being reviewed on sample basis?</w:t>
            </w:r>
          </w:p>
          <w:p w14:paraId="5D16D80B" w14:textId="59505E76" w:rsidR="00591AF2" w:rsidRPr="00D74C0C" w:rsidRDefault="00591AF2" w:rsidP="00D74C0C">
            <w:pPr>
              <w:pStyle w:val="ListParagraph"/>
              <w:numPr>
                <w:ilvl w:val="0"/>
                <w:numId w:val="2"/>
              </w:numPr>
              <w:spacing w:line="360" w:lineRule="auto"/>
              <w:ind w:left="143" w:hanging="180"/>
              <w:rPr>
                <w:rFonts w:ascii="Arial" w:hAnsi="Arial" w:cs="Arial"/>
                <w:sz w:val="20"/>
                <w:szCs w:val="20"/>
              </w:rPr>
            </w:pPr>
            <w:r w:rsidRPr="00D74C0C">
              <w:rPr>
                <w:rFonts w:ascii="Arial" w:hAnsi="Arial" w:cs="Arial"/>
                <w:sz w:val="20"/>
                <w:szCs w:val="20"/>
              </w:rPr>
              <w:t>Does the NSIF require legal advice on these policies, or could we proceed with the understanding that the scope of the consultancy services is to evaluate and ascertain whether the terms are fair and standardized across all 200 NGOs?</w:t>
            </w:r>
          </w:p>
        </w:tc>
        <w:tc>
          <w:tcPr>
            <w:tcW w:w="2677" w:type="dxa"/>
          </w:tcPr>
          <w:p w14:paraId="2096FA7D" w14:textId="77777777" w:rsidR="00591AF2" w:rsidRDefault="00591AF2" w:rsidP="00D74C0C">
            <w:pPr>
              <w:pStyle w:val="ListParagraph"/>
              <w:numPr>
                <w:ilvl w:val="0"/>
                <w:numId w:val="1"/>
              </w:numPr>
              <w:spacing w:line="360" w:lineRule="auto"/>
              <w:ind w:left="159" w:hanging="180"/>
              <w:rPr>
                <w:rFonts w:ascii="Arial" w:hAnsi="Arial" w:cs="Arial"/>
                <w:sz w:val="20"/>
                <w:szCs w:val="20"/>
              </w:rPr>
            </w:pPr>
            <w:r w:rsidRPr="00D74C0C">
              <w:rPr>
                <w:rFonts w:ascii="Arial" w:hAnsi="Arial" w:cs="Arial"/>
                <w:sz w:val="20"/>
                <w:szCs w:val="20"/>
              </w:rPr>
              <w:t>Estimated no. of employees is 3,000. Employment contracts not currently reviewed.</w:t>
            </w:r>
          </w:p>
          <w:p w14:paraId="0EBFE8FE" w14:textId="77777777" w:rsidR="00D74C0C" w:rsidRPr="00D74C0C" w:rsidRDefault="00D74C0C" w:rsidP="00D74C0C">
            <w:pPr>
              <w:pStyle w:val="ListParagraph"/>
              <w:spacing w:line="360" w:lineRule="auto"/>
              <w:ind w:left="159"/>
              <w:rPr>
                <w:rFonts w:ascii="Arial" w:hAnsi="Arial" w:cs="Arial"/>
                <w:sz w:val="20"/>
                <w:szCs w:val="20"/>
              </w:rPr>
            </w:pPr>
          </w:p>
          <w:p w14:paraId="506B0686" w14:textId="2005789B" w:rsidR="00591AF2" w:rsidRPr="00D74C0C" w:rsidRDefault="00D74C0C" w:rsidP="00D74C0C">
            <w:pPr>
              <w:pStyle w:val="ListParagraph"/>
              <w:numPr>
                <w:ilvl w:val="0"/>
                <w:numId w:val="1"/>
              </w:numPr>
              <w:spacing w:line="360" w:lineRule="auto"/>
              <w:ind w:left="159" w:hanging="180"/>
              <w:rPr>
                <w:rFonts w:ascii="Arial" w:hAnsi="Arial" w:cs="Arial"/>
                <w:sz w:val="20"/>
                <w:szCs w:val="20"/>
              </w:rPr>
            </w:pPr>
            <w:r w:rsidRPr="00D74C0C">
              <w:rPr>
                <w:rFonts w:ascii="Arial" w:hAnsi="Arial" w:cs="Arial"/>
                <w:sz w:val="20"/>
                <w:szCs w:val="20"/>
              </w:rPr>
              <w:t>Scope of consultancy does not include legal advice although consultants may be expected to refer to legal provisions when reviewing current terms and conditions.</w:t>
            </w:r>
          </w:p>
        </w:tc>
      </w:tr>
      <w:tr w:rsidR="00591AF2" w:rsidRPr="00D74C0C" w14:paraId="2918A0FF" w14:textId="77777777" w:rsidTr="004D7FA2">
        <w:trPr>
          <w:trHeight w:val="4922"/>
        </w:trPr>
        <w:tc>
          <w:tcPr>
            <w:tcW w:w="495" w:type="dxa"/>
          </w:tcPr>
          <w:p w14:paraId="791500AD" w14:textId="52A71F05" w:rsidR="00591AF2" w:rsidRPr="00D74C0C" w:rsidRDefault="00591AF2" w:rsidP="00D74C0C">
            <w:pPr>
              <w:spacing w:line="360" w:lineRule="auto"/>
              <w:rPr>
                <w:rFonts w:ascii="Arial" w:hAnsi="Arial" w:cs="Arial"/>
                <w:sz w:val="20"/>
                <w:szCs w:val="20"/>
              </w:rPr>
            </w:pPr>
            <w:r w:rsidRPr="00D74C0C">
              <w:rPr>
                <w:rFonts w:ascii="Arial" w:hAnsi="Arial" w:cs="Arial"/>
                <w:sz w:val="20"/>
                <w:szCs w:val="20"/>
              </w:rPr>
              <w:t>2</w:t>
            </w:r>
          </w:p>
        </w:tc>
        <w:tc>
          <w:tcPr>
            <w:tcW w:w="2307" w:type="dxa"/>
          </w:tcPr>
          <w:p w14:paraId="35C7F3CB" w14:textId="75EB9741" w:rsidR="00591AF2" w:rsidRPr="00D74C0C" w:rsidRDefault="00591AF2" w:rsidP="00D74C0C">
            <w:pPr>
              <w:spacing w:line="360" w:lineRule="auto"/>
              <w:rPr>
                <w:rFonts w:ascii="Arial" w:hAnsi="Arial" w:cs="Arial"/>
                <w:sz w:val="20"/>
                <w:szCs w:val="20"/>
              </w:rPr>
            </w:pPr>
            <w:r w:rsidRPr="00D74C0C">
              <w:rPr>
                <w:rFonts w:ascii="Arial" w:hAnsi="Arial" w:cs="Arial"/>
                <w:sz w:val="20"/>
                <w:szCs w:val="20"/>
              </w:rPr>
              <w:t>Analyse the local market and conduct benchmarking against comparable organisations in the social sector in Mauritius</w:t>
            </w:r>
          </w:p>
        </w:tc>
        <w:tc>
          <w:tcPr>
            <w:tcW w:w="3537" w:type="dxa"/>
          </w:tcPr>
          <w:p w14:paraId="69F2FAEE" w14:textId="77777777" w:rsidR="00D74C0C" w:rsidRDefault="00591AF2" w:rsidP="00D74C0C">
            <w:pPr>
              <w:pStyle w:val="ListParagraph"/>
              <w:numPr>
                <w:ilvl w:val="0"/>
                <w:numId w:val="2"/>
              </w:numPr>
              <w:spacing w:line="360" w:lineRule="auto"/>
              <w:ind w:left="143" w:hanging="180"/>
              <w:rPr>
                <w:rFonts w:ascii="Arial" w:hAnsi="Arial" w:cs="Arial"/>
                <w:sz w:val="20"/>
                <w:szCs w:val="20"/>
              </w:rPr>
            </w:pPr>
            <w:r w:rsidRPr="00D74C0C">
              <w:rPr>
                <w:rFonts w:ascii="Arial" w:hAnsi="Arial" w:cs="Arial"/>
                <w:sz w:val="20"/>
                <w:szCs w:val="20"/>
              </w:rPr>
              <w:t>Is there a pre-defined list of comparable organizations against which benchmarks are to be shared?</w:t>
            </w:r>
          </w:p>
          <w:p w14:paraId="7D5D3AD0" w14:textId="77777777" w:rsidR="00D74C0C" w:rsidRDefault="00591AF2" w:rsidP="00D74C0C">
            <w:pPr>
              <w:pStyle w:val="ListParagraph"/>
              <w:numPr>
                <w:ilvl w:val="0"/>
                <w:numId w:val="2"/>
              </w:numPr>
              <w:spacing w:line="360" w:lineRule="auto"/>
              <w:ind w:left="143" w:hanging="180"/>
              <w:rPr>
                <w:rFonts w:ascii="Arial" w:hAnsi="Arial" w:cs="Arial"/>
                <w:sz w:val="20"/>
                <w:szCs w:val="20"/>
              </w:rPr>
            </w:pPr>
            <w:r w:rsidRPr="00D74C0C">
              <w:rPr>
                <w:rFonts w:ascii="Arial" w:hAnsi="Arial" w:cs="Arial"/>
                <w:sz w:val="20"/>
                <w:szCs w:val="20"/>
              </w:rPr>
              <w:t>Do all the NGOs use the same set of comparators?</w:t>
            </w:r>
          </w:p>
          <w:p w14:paraId="692FD29D" w14:textId="77777777" w:rsidR="00D74C0C" w:rsidRDefault="00591AF2" w:rsidP="00D74C0C">
            <w:pPr>
              <w:pStyle w:val="ListParagraph"/>
              <w:numPr>
                <w:ilvl w:val="0"/>
                <w:numId w:val="2"/>
              </w:numPr>
              <w:spacing w:line="360" w:lineRule="auto"/>
              <w:ind w:left="143" w:hanging="180"/>
              <w:rPr>
                <w:rFonts w:ascii="Arial" w:hAnsi="Arial" w:cs="Arial"/>
                <w:sz w:val="20"/>
                <w:szCs w:val="20"/>
              </w:rPr>
            </w:pPr>
            <w:r w:rsidRPr="00D74C0C">
              <w:rPr>
                <w:rFonts w:ascii="Arial" w:hAnsi="Arial" w:cs="Arial"/>
                <w:sz w:val="20"/>
                <w:szCs w:val="20"/>
              </w:rPr>
              <w:t>Do we have defined list of roles or functions across NGO organizations which are to be benchmarked?</w:t>
            </w:r>
          </w:p>
          <w:p w14:paraId="1B904814" w14:textId="77777777" w:rsidR="00D74C0C" w:rsidRDefault="00591AF2" w:rsidP="00D74C0C">
            <w:pPr>
              <w:pStyle w:val="ListParagraph"/>
              <w:numPr>
                <w:ilvl w:val="0"/>
                <w:numId w:val="2"/>
              </w:numPr>
              <w:spacing w:line="360" w:lineRule="auto"/>
              <w:ind w:left="143" w:hanging="180"/>
              <w:rPr>
                <w:rFonts w:ascii="Arial" w:hAnsi="Arial" w:cs="Arial"/>
                <w:sz w:val="20"/>
                <w:szCs w:val="20"/>
              </w:rPr>
            </w:pPr>
            <w:r w:rsidRPr="00D74C0C">
              <w:rPr>
                <w:rFonts w:ascii="Arial" w:hAnsi="Arial" w:cs="Arial"/>
                <w:sz w:val="20"/>
                <w:szCs w:val="20"/>
              </w:rPr>
              <w:t>Do we need to also benchmark benefits for the social sector?</w:t>
            </w:r>
          </w:p>
          <w:p w14:paraId="52E091D4" w14:textId="478384F3" w:rsidR="00591AF2" w:rsidRPr="00D74C0C" w:rsidRDefault="00591AF2" w:rsidP="00D74C0C">
            <w:pPr>
              <w:pStyle w:val="ListParagraph"/>
              <w:numPr>
                <w:ilvl w:val="0"/>
                <w:numId w:val="2"/>
              </w:numPr>
              <w:spacing w:line="360" w:lineRule="auto"/>
              <w:ind w:left="143" w:hanging="180"/>
              <w:rPr>
                <w:rFonts w:ascii="Arial" w:hAnsi="Arial" w:cs="Arial"/>
                <w:sz w:val="20"/>
                <w:szCs w:val="20"/>
              </w:rPr>
            </w:pPr>
            <w:r w:rsidRPr="00D74C0C">
              <w:rPr>
                <w:rFonts w:ascii="Arial" w:hAnsi="Arial" w:cs="Arial"/>
                <w:sz w:val="20"/>
                <w:szCs w:val="20"/>
              </w:rPr>
              <w:t>Is the grade structure similar across all the NGOs?</w:t>
            </w:r>
          </w:p>
        </w:tc>
        <w:tc>
          <w:tcPr>
            <w:tcW w:w="2677" w:type="dxa"/>
          </w:tcPr>
          <w:p w14:paraId="5EF5C99B" w14:textId="77777777" w:rsidR="00D74C0C" w:rsidRPr="00D74C0C" w:rsidRDefault="00D74C0C" w:rsidP="00D74C0C">
            <w:pPr>
              <w:pStyle w:val="ListParagraph"/>
              <w:numPr>
                <w:ilvl w:val="0"/>
                <w:numId w:val="1"/>
              </w:numPr>
              <w:spacing w:line="360" w:lineRule="auto"/>
              <w:ind w:left="159" w:hanging="180"/>
              <w:rPr>
                <w:rFonts w:ascii="Arial" w:hAnsi="Arial" w:cs="Arial"/>
                <w:sz w:val="20"/>
                <w:szCs w:val="20"/>
              </w:rPr>
            </w:pPr>
            <w:r w:rsidRPr="00D74C0C">
              <w:rPr>
                <w:rFonts w:ascii="Arial" w:hAnsi="Arial" w:cs="Arial"/>
                <w:sz w:val="20"/>
                <w:szCs w:val="20"/>
              </w:rPr>
              <w:t>Benchmarks can be made against NGOs operating in similar sectors.</w:t>
            </w:r>
          </w:p>
          <w:p w14:paraId="4CFD0E85" w14:textId="77777777" w:rsidR="00591AF2" w:rsidRPr="00D74C0C" w:rsidRDefault="00D74C0C" w:rsidP="00D74C0C">
            <w:pPr>
              <w:pStyle w:val="ListParagraph"/>
              <w:numPr>
                <w:ilvl w:val="0"/>
                <w:numId w:val="1"/>
              </w:numPr>
              <w:spacing w:line="360" w:lineRule="auto"/>
              <w:ind w:left="159" w:hanging="180"/>
              <w:rPr>
                <w:rFonts w:ascii="Arial" w:hAnsi="Arial" w:cs="Arial"/>
                <w:sz w:val="20"/>
                <w:szCs w:val="20"/>
              </w:rPr>
            </w:pPr>
            <w:r w:rsidRPr="00D74C0C">
              <w:rPr>
                <w:rFonts w:ascii="Arial" w:hAnsi="Arial" w:cs="Arial"/>
                <w:sz w:val="20"/>
                <w:szCs w:val="20"/>
              </w:rPr>
              <w:t>Comparators not the same across all NGOs.</w:t>
            </w:r>
          </w:p>
          <w:p w14:paraId="58714506" w14:textId="3FE0018D" w:rsidR="00D74C0C" w:rsidRPr="00D74C0C" w:rsidRDefault="00D74C0C" w:rsidP="00D74C0C">
            <w:pPr>
              <w:pStyle w:val="ListParagraph"/>
              <w:numPr>
                <w:ilvl w:val="0"/>
                <w:numId w:val="1"/>
              </w:numPr>
              <w:spacing w:line="360" w:lineRule="auto"/>
              <w:ind w:left="159" w:hanging="180"/>
              <w:rPr>
                <w:rFonts w:ascii="Arial" w:hAnsi="Arial" w:cs="Arial"/>
                <w:sz w:val="20"/>
                <w:szCs w:val="20"/>
              </w:rPr>
            </w:pPr>
            <w:r w:rsidRPr="00D74C0C">
              <w:rPr>
                <w:rFonts w:ascii="Arial" w:hAnsi="Arial" w:cs="Arial"/>
                <w:sz w:val="20"/>
                <w:szCs w:val="20"/>
              </w:rPr>
              <w:t>Defined list of roles available.</w:t>
            </w:r>
          </w:p>
          <w:p w14:paraId="3643E3D7" w14:textId="77777777" w:rsidR="00D74C0C" w:rsidRPr="00D74C0C" w:rsidRDefault="00D74C0C" w:rsidP="00D74C0C">
            <w:pPr>
              <w:pStyle w:val="ListParagraph"/>
              <w:spacing w:line="360" w:lineRule="auto"/>
              <w:ind w:left="159"/>
              <w:rPr>
                <w:rFonts w:ascii="Arial" w:hAnsi="Arial" w:cs="Arial"/>
                <w:sz w:val="20"/>
                <w:szCs w:val="20"/>
              </w:rPr>
            </w:pPr>
          </w:p>
          <w:p w14:paraId="3DECCC46" w14:textId="77777777" w:rsidR="00D74C0C" w:rsidRPr="00D74C0C" w:rsidRDefault="00D74C0C" w:rsidP="00D74C0C">
            <w:pPr>
              <w:pStyle w:val="ListParagraph"/>
              <w:spacing w:line="360" w:lineRule="auto"/>
              <w:ind w:left="159"/>
              <w:rPr>
                <w:rFonts w:ascii="Arial" w:hAnsi="Arial" w:cs="Arial"/>
                <w:sz w:val="20"/>
                <w:szCs w:val="20"/>
              </w:rPr>
            </w:pPr>
          </w:p>
          <w:p w14:paraId="4E12E8FA" w14:textId="40656A5A" w:rsidR="00D74C0C" w:rsidRPr="00D74C0C" w:rsidRDefault="00D74C0C" w:rsidP="00D74C0C">
            <w:pPr>
              <w:pStyle w:val="ListParagraph"/>
              <w:numPr>
                <w:ilvl w:val="0"/>
                <w:numId w:val="1"/>
              </w:numPr>
              <w:spacing w:line="360" w:lineRule="auto"/>
              <w:ind w:left="159" w:hanging="180"/>
              <w:rPr>
                <w:rFonts w:ascii="Arial" w:hAnsi="Arial" w:cs="Arial"/>
                <w:sz w:val="20"/>
                <w:szCs w:val="20"/>
              </w:rPr>
            </w:pPr>
            <w:r w:rsidRPr="00D74C0C">
              <w:rPr>
                <w:rFonts w:ascii="Arial" w:hAnsi="Arial" w:cs="Arial"/>
                <w:sz w:val="20"/>
                <w:szCs w:val="20"/>
              </w:rPr>
              <w:t>Yes, to benchmark benefits as well.</w:t>
            </w:r>
          </w:p>
          <w:p w14:paraId="0C475F1D" w14:textId="0DADDF22" w:rsidR="00D74C0C" w:rsidRPr="00D74C0C" w:rsidRDefault="00D74C0C" w:rsidP="00D74C0C">
            <w:pPr>
              <w:pStyle w:val="ListParagraph"/>
              <w:numPr>
                <w:ilvl w:val="0"/>
                <w:numId w:val="1"/>
              </w:numPr>
              <w:spacing w:line="360" w:lineRule="auto"/>
              <w:ind w:left="159" w:hanging="180"/>
              <w:rPr>
                <w:rFonts w:ascii="Arial" w:hAnsi="Arial" w:cs="Arial"/>
                <w:sz w:val="20"/>
                <w:szCs w:val="20"/>
              </w:rPr>
            </w:pPr>
            <w:r w:rsidRPr="00D74C0C">
              <w:rPr>
                <w:rFonts w:ascii="Arial" w:hAnsi="Arial" w:cs="Arial"/>
                <w:sz w:val="20"/>
                <w:szCs w:val="20"/>
              </w:rPr>
              <w:t>Grade structure not similar across all NGOs.</w:t>
            </w:r>
          </w:p>
        </w:tc>
      </w:tr>
      <w:tr w:rsidR="00591AF2" w:rsidRPr="00D74C0C" w14:paraId="49074867" w14:textId="77777777" w:rsidTr="004D7FA2">
        <w:trPr>
          <w:trHeight w:val="2870"/>
        </w:trPr>
        <w:tc>
          <w:tcPr>
            <w:tcW w:w="495" w:type="dxa"/>
          </w:tcPr>
          <w:p w14:paraId="30E518BA" w14:textId="705DE3EC" w:rsidR="00591AF2" w:rsidRPr="00D74C0C" w:rsidRDefault="00591AF2" w:rsidP="00D74C0C">
            <w:pPr>
              <w:spacing w:line="360" w:lineRule="auto"/>
              <w:rPr>
                <w:rFonts w:ascii="Arial" w:hAnsi="Arial" w:cs="Arial"/>
                <w:sz w:val="20"/>
                <w:szCs w:val="20"/>
              </w:rPr>
            </w:pPr>
            <w:r w:rsidRPr="00D74C0C">
              <w:rPr>
                <w:rFonts w:ascii="Arial" w:hAnsi="Arial" w:cs="Arial"/>
                <w:sz w:val="20"/>
                <w:szCs w:val="20"/>
              </w:rPr>
              <w:t>3</w:t>
            </w:r>
          </w:p>
        </w:tc>
        <w:tc>
          <w:tcPr>
            <w:tcW w:w="2307" w:type="dxa"/>
          </w:tcPr>
          <w:p w14:paraId="5FF252FD" w14:textId="6A1698F7" w:rsidR="00591AF2" w:rsidRPr="00D74C0C" w:rsidRDefault="00591AF2" w:rsidP="00D74C0C">
            <w:pPr>
              <w:spacing w:line="360" w:lineRule="auto"/>
              <w:rPr>
                <w:rFonts w:ascii="Arial" w:hAnsi="Arial" w:cs="Arial"/>
                <w:sz w:val="20"/>
                <w:szCs w:val="20"/>
              </w:rPr>
            </w:pPr>
            <w:r w:rsidRPr="00D74C0C">
              <w:rPr>
                <w:rFonts w:ascii="Arial" w:hAnsi="Arial" w:cs="Arial"/>
                <w:sz w:val="20"/>
                <w:szCs w:val="20"/>
              </w:rPr>
              <w:t>Conduct a survey of employees to gather feedback on their current salary and employment conditions</w:t>
            </w:r>
          </w:p>
        </w:tc>
        <w:tc>
          <w:tcPr>
            <w:tcW w:w="3537" w:type="dxa"/>
          </w:tcPr>
          <w:p w14:paraId="37BA77B3" w14:textId="77777777" w:rsidR="00D74C0C" w:rsidRDefault="00591AF2" w:rsidP="00D74C0C">
            <w:pPr>
              <w:pStyle w:val="ListParagraph"/>
              <w:numPr>
                <w:ilvl w:val="0"/>
                <w:numId w:val="2"/>
              </w:numPr>
              <w:spacing w:line="360" w:lineRule="auto"/>
              <w:ind w:left="143" w:hanging="180"/>
              <w:rPr>
                <w:rFonts w:ascii="Arial" w:hAnsi="Arial" w:cs="Arial"/>
                <w:sz w:val="20"/>
                <w:szCs w:val="20"/>
              </w:rPr>
            </w:pPr>
            <w:r w:rsidRPr="00D74C0C">
              <w:rPr>
                <w:rFonts w:ascii="Arial" w:hAnsi="Arial" w:cs="Arial"/>
                <w:sz w:val="20"/>
                <w:szCs w:val="20"/>
              </w:rPr>
              <w:t>How many employees are to be covered across all NGOs under this survey?</w:t>
            </w:r>
          </w:p>
          <w:p w14:paraId="6E668F52" w14:textId="2968E233" w:rsidR="00591AF2" w:rsidRPr="00D74C0C" w:rsidRDefault="00591AF2" w:rsidP="00D74C0C">
            <w:pPr>
              <w:pStyle w:val="ListParagraph"/>
              <w:numPr>
                <w:ilvl w:val="0"/>
                <w:numId w:val="2"/>
              </w:numPr>
              <w:spacing w:line="360" w:lineRule="auto"/>
              <w:ind w:left="143" w:hanging="180"/>
              <w:rPr>
                <w:rFonts w:ascii="Arial" w:hAnsi="Arial" w:cs="Arial"/>
                <w:sz w:val="20"/>
                <w:szCs w:val="20"/>
              </w:rPr>
            </w:pPr>
            <w:r w:rsidRPr="00D74C0C">
              <w:rPr>
                <w:rFonts w:ascii="Arial" w:hAnsi="Arial" w:cs="Arial"/>
                <w:sz w:val="20"/>
                <w:szCs w:val="20"/>
              </w:rPr>
              <w:t>Is there any in-house tool(s) available to conduct a survey at NSIF? (Kindly note: Deloitte has tools/partnerships to conduct these surveys)</w:t>
            </w:r>
          </w:p>
        </w:tc>
        <w:tc>
          <w:tcPr>
            <w:tcW w:w="2677" w:type="dxa"/>
          </w:tcPr>
          <w:p w14:paraId="3C95845F" w14:textId="6F41ED20" w:rsidR="00591AF2" w:rsidRPr="00D74C0C" w:rsidRDefault="00591AF2" w:rsidP="00D74C0C">
            <w:pPr>
              <w:pStyle w:val="ListParagraph"/>
              <w:numPr>
                <w:ilvl w:val="0"/>
                <w:numId w:val="1"/>
              </w:numPr>
              <w:spacing w:line="360" w:lineRule="auto"/>
              <w:ind w:left="159" w:hanging="180"/>
              <w:rPr>
                <w:rFonts w:ascii="Arial" w:hAnsi="Arial" w:cs="Arial"/>
                <w:sz w:val="20"/>
                <w:szCs w:val="20"/>
              </w:rPr>
            </w:pPr>
            <w:r w:rsidRPr="00D74C0C">
              <w:rPr>
                <w:rFonts w:ascii="Arial" w:hAnsi="Arial" w:cs="Arial"/>
                <w:sz w:val="20"/>
                <w:szCs w:val="20"/>
              </w:rPr>
              <w:t>Consultants should propose a sample frame in their methodology.</w:t>
            </w:r>
          </w:p>
          <w:p w14:paraId="6F952DB4" w14:textId="6D805BA2" w:rsidR="00591AF2" w:rsidRPr="00D74C0C" w:rsidRDefault="00591AF2" w:rsidP="00D74C0C">
            <w:pPr>
              <w:pStyle w:val="ListParagraph"/>
              <w:numPr>
                <w:ilvl w:val="0"/>
                <w:numId w:val="1"/>
              </w:numPr>
              <w:spacing w:line="360" w:lineRule="auto"/>
              <w:ind w:left="159" w:hanging="180"/>
              <w:rPr>
                <w:rFonts w:ascii="Arial" w:hAnsi="Arial" w:cs="Arial"/>
                <w:sz w:val="20"/>
                <w:szCs w:val="20"/>
              </w:rPr>
            </w:pPr>
            <w:r w:rsidRPr="00D74C0C">
              <w:rPr>
                <w:rFonts w:ascii="Arial" w:hAnsi="Arial" w:cs="Arial"/>
                <w:sz w:val="20"/>
                <w:szCs w:val="20"/>
              </w:rPr>
              <w:t>No in-house tool(s) available</w:t>
            </w:r>
            <w:r w:rsidR="00D74C0C">
              <w:rPr>
                <w:rFonts w:ascii="Arial" w:hAnsi="Arial" w:cs="Arial"/>
                <w:sz w:val="20"/>
                <w:szCs w:val="20"/>
              </w:rPr>
              <w:t>, except Google Forms.</w:t>
            </w:r>
          </w:p>
        </w:tc>
      </w:tr>
    </w:tbl>
    <w:p w14:paraId="391B28C5" w14:textId="77777777" w:rsidR="005D051E" w:rsidRDefault="005D051E"/>
    <w:sectPr w:rsidR="005D051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1A2A"/>
    <w:multiLevelType w:val="hybridMultilevel"/>
    <w:tmpl w:val="B29ED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F7E9C"/>
    <w:multiLevelType w:val="hybridMultilevel"/>
    <w:tmpl w:val="EA94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4981871">
    <w:abstractNumId w:val="0"/>
  </w:num>
  <w:num w:numId="2" w16cid:durableId="107512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F2"/>
    <w:rsid w:val="004D7FA2"/>
    <w:rsid w:val="00591AF2"/>
    <w:rsid w:val="005D051E"/>
    <w:rsid w:val="00D74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355E"/>
  <w15:chartTrackingRefBased/>
  <w15:docId w15:val="{C33526BA-5D0E-4F58-A89F-7355184E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Ragoobur</dc:creator>
  <cp:keywords/>
  <dc:description/>
  <cp:lastModifiedBy>Vishal Ragoobur</cp:lastModifiedBy>
  <cp:revision>1</cp:revision>
  <dcterms:created xsi:type="dcterms:W3CDTF">2023-06-13T08:06:00Z</dcterms:created>
  <dcterms:modified xsi:type="dcterms:W3CDTF">2023-06-13T08:28:00Z</dcterms:modified>
</cp:coreProperties>
</file>